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91</w:t>
      </w:r>
    </w:p>
    <w:p>
      <w:r>
        <w:t>Bundesgericht (BGE), 2001-02-22, FR</w:t>
      </w:r>
    </w:p>
    <w:p>
      <w:r>
        <w:rPr>
          <w:b/>
        </w:rPr>
        <w:t xml:space="preserve">Quelle: </w:t>
      </w:r>
      <w:r>
        <w:t>https://mcp.opencaselaw.ch/entscheid/bge_127 IV 91</w:t>
      </w:r>
    </w:p>
    <w:p>
      <w:r>
        <w:t>FR: ATF 127 IV 91</w:t>
      </w:r>
    </w:p>
    <w:p>
      <w:r>
        <w:t>IT: DTF 127 IV 91</w:t>
      </w:r>
    </w:p>
    <w:p>
      <w:pPr>
        <w:pStyle w:val="Heading2"/>
      </w:pPr>
      <w:r>
        <w:t>Regeste</w:t>
      </w:r>
    </w:p>
    <w:p>
      <w:r>
        <w:t>Regeste Art. 36 Abs. 2 SVG; Art. 1 Abs. 8 und Art. 15 Abs. 3 VRV; Rechtsvortritt auf Strassenverzweigungen. Voraussetzungen, unter welchen die Einmündung einer Fahrbahn in eine andere keine Strassenverzweigung im Sinne von Art. 36 Abs. 2 SVG darstellt und damit eine Ausnahme vom Rechtsvortritt begründet (Bestätigung der Rechtsprechung). Bei zweifelhafter Vortrittsregelung sind Kreuzungen klar zu signalisieren (E. 2a). Im konkreten Fall bildet die Kreuzung einer Gemeindestrasse mit einer etwa gleich breiten, geteerten Quartierstrasse, die elf Häuser erschliesst und als Sackgasse endet, eine Strassenverzweigung. Daran vermögen auch die Strassenspiegel auf der Gemeindestrasse nichts zu ändern, die die mangelhafte Sicht ausgleichen sollen (E. 2b).</w:t>
      </w:r>
    </w:p>
    <w:p>
      <w:pPr>
        <w:pStyle w:val="Heading2"/>
      </w:pPr>
      <w:r>
        <w:t>Erwägungen</w:t>
      </w:r>
    </w:p>
    <w:p>
      <w:r>
        <w:rPr>
          <w:b/>
        </w:rPr>
        <w:t>E. 2</w:t>
      </w:r>
    </w:p>
    <w:p>
      <w:r>
        <w:t>a) aa) L' art. 36 al. 2 LCR prévoit qu'aux intersections, le véhicule qui vient de droite a la priorité. Selon l'art. 1er al. 8 de l'ordonnance fédérale du 13 novembre 1962 sur les règles de la circulation routière (OCR; RS 741.11), 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 De même, d'après l' art. 15 al. 3 OCR , celui qui, sortant d'une fabrique, d'une BGE 127 IV 91 S. 94 cour, d'un garage, d'un chemin rural, d'une piste cyclable, d'une place de stationnement, d'une station d'essence, etc., ou traversant un trottoir, débouche sur une route principale ou secondaire, est tenu d'accorder la priorité aux usagers de cette route. bb) Les art. 1er al. 8 2 e phrase OCR et 15 al. 3 OCR reposent sur l'idée que la circulation sur les routes de transit (Durchgangsstrassen) ne doit être gênée ni à l'intérieur ni à l'extérieur des localités par des embranchements qui n'ont pratiquement pas ou peu d'importance pour le trafic ( ATF 123 IV 218 consid. 3a; ATF 117 IV 498 consid. 5b; ATF 92 IV 26 consid. 1). Ainsi, lorsqu'un embranchement ne peut être assimilé sans hésitation aux exemples mentionnés par ces dispositions, la jurisprudence s'appuie, pour déterminer s'il s'agit ou non d'une intersection, sur l'importance pour le trafic de la chaussée en cause, en particulier par rapport à la route sur laquelle elle débouche ( ATF 123 IV 218 consid. 3a; ATF 117 IV 498 consid. 4a). Les exceptions à la règle de la priorité de droite prévues par les art. 1er al. 8 2 e phrase OCR et 15 al. 3 OCR risquant de causer des accidents, la sécurité du trafic exige qu'elles soient réduites aux cas clairement reconnaissables pour les usagers, même non familiers des lieux et dans des conditions défavorables de visibilité ( ATF 117 IV 498 consid. 4a; ATF 107 IV 47 consid. 3a). De même, dans l'intérêt d'une clarté des conditions de trafic et du droit de priorité, ces dispositions dérogatoires doivent être interprétées restrictivement, la réglementation ordinaire devant l'emporter en cas de doute ( ATF 123 IV 218 consid. 3a; ATF 117 IV 498 consid. 4a; ATF 107 IV 47 consid. 3a). En conséquence, selon la jurisprudence, un débouché ne constitue une exception à la règle ordinaire de priorité que lorsque l'une des voies est une route de transit et l'autre une voie latérale ou étroite qui n'est manifestement pas destinée au transit et qui n'a pratiquement pas ou peu d'importance pour le trafic (cf. ATF 123 IV 218 consid. 3a; ATF 106 IV 56 consid. 2; BUSSY/RUSCONI, Code suisse de la circulation routière, Lausanne 1996, n. 3.3 ad art. 36 p. 386 ss; voir aussi RENÉ SCHAFFHAUSER, Grundriss des schweizerischen Strassenverkehrsrechts, Berne 1984, vol. I, nos 654 ss). Par route de transit, il ne faut pas seulement entendre les autoroutes, les semi-autoroutes et les routes principales, mais d'une manière générale toutes les routes qui présentent au moins par moment un fort trafic, qui relient entre eux des quartiers d'une certaine importance ou des agglomérations et qui ne sont pas seulement réservées au trafic interne d'un quartier ( ATF 112 IV 88 consid. 2c). Ainsi, les ruelles qui ne sont ouvertes qu'à un nombre déterminé de personnes ou qui, de BGE 127 IV 91 S. 95 même que les culs-de-sac, ne desservent que quelques maisons, sont d'une importance tellement secondaire au regard des routes de transit qu'elles ne bénéficient pas de la priorité lorsqu'elles débouchent sur celles-ci ( ATF 112 IV 88 consid. 2; ATF 107 IV 47 consid. 3b; plus récemment ATF 123 IV 218 consid. 3a et ATF 117 IV 498 consid. 4a). Par ailleurs, lorsqu'une configuration est équivoque, il s'impose de placer une signalisation claire, surtout lorsqu'elle a déjà donné lieu à des accidents répétés. Il en va de même lorsqu'une inégalité de trafic entre deux voies, sans conduire à admettre une exception aux art. 1er al. 8 2 e phrase OCR et 15 al. 3 OCR, rend intolérable la priorité de la route latérale (cf. ATF 90 IV 86 consid. 2c in fine). b) En l'occurrence, le Tribunal cantonal a qualifié la route communale de route de transit au sens de la jurisprudence, au motif qu'elle relie notamment deux villages. On peut se demander si cette appréciation est justifiée, dès lors qu'il n'est pas certain qu'une telle route soit fréquentée au point de présenter, au moins par moment, un fort trafic. La question peut toutefois rester indécise, car la jonction litigieuse constitue de toute façon une intersection. Encore faut-il en effet, pour qu'une route de transit ne forme pas une intersection avec une route qui la croise, que celle-ci soit "une voie latérale ou étroite qui n'est manifestement pas destinée au transit et qui n'a pratiquement pas ou peu d'importance pour le trafic" (cf. consid. 2a/bb ci-dessus). Une simple inégalité de fréquentation ne suffit pas (cf. ATF 106 IV 56 consid. 2; ATF 92 IV 26 consid. 2; ATF 90 IV 86 consid. 2). Dans une affaire similaire au cas d'espèce ( ATF 96 IV 35 ), le Tribunal fédéral a estimé qu'une impasse large de 4 m. 90, longue de 100 à 150 m. et desservant une dizaine ou une douzaine de villas n'était pas assimilable à un chemin de campagne ou à une sortie de cour et formait une intersection avec une avenue large de 5 m. 30, à grand trafic mais non de transit. En outre, toujours selon cet arrêt, la situation ne serait pas différente si l'on qualifiait cette avenue d'artère de transit, dès lors que rien dans l'aspect de l'impasse ne révélait au conducteur étranger aux lieux qu'elle n'aurait pas d'importance pratique pour le trafic. Il n'y a pas lieu d'apprécier différemment la présente situation. Avant de terminer en impasse, la route de quartier dessert onze villas. De plus, selon les faits retenus par l'autorité intimée, l'aspect de la jonction n'indique nullement au conducteur circulant sur la route communale que la route y débouchant n'aurait pas d'importance pratique pour le trafic, dès lors qu'elle est également goudronnée et à BGE 127 IV 91 S. 96 peu près de même largeur que la route communale. Peu importe également que des miroirs aient été posés car, d'un côté, ceux-ci ne signifient pas que la visibilité est mauvaise au point d'empêcher une application ordinaire des règles de la priorité, puisqu'ils ont précisément pour but de pallier ce défaut, et, d'un autre côté, même un conducteur prioritaire à une intersection nécessite une vue dégagée de la route sur laquelle il s'apprête à s'engager. Il doit en effet vérifier, à gauche, au moins par un rapide coup d'oeil, que la route est libre et, à droite, qu'aucun véhicule ayant priorité sur lui ne s'approche ( ATF 105 IV 52 consid. 2; ATF 96 IV 35 consid. 3; ATF 90 IV 86 consid. 2b; BUSSY/RUSCONI, op. cit., n. 3.6 ad art. 36 p. 394 s.; SCHAFFHAUSER, op. cit., nos 697 ss; BUSSY, Priorité aux intersections, FJS 9, 1969, nos 11 ss). Vraisemblablement du reste, les miroirs en cause en l'espèce permettent, réciproquement, aux conducteurs circulant sur la route communale de contrôler si un véhicule s'apprête à sortir de la route de quartier. Enfin, pour les mêmes motifs, il n'est pas déterminant que la recourante ait ralenti - ou se soit arrêtée (BUSSY/RUSCONI, op. cit., n. 3.6.5 ad art. 36 p. 396 s.). Dans ces conditions, la route des Esserts n'est pas "une voie latérale ou étroite qui n'est manifestement pas destinée au transit et qui n'a pratiquement pas ou peu d'importance pour le trafic." Sa jonction avec la route communale constitue dès lors une intersection, que celle-ci soit ou non une route de transit. La recourante bénéficiait donc de la priorité, de sorte que l'arrêt attaqué doit être annulé sur ce point. c) Encore faut-il toutefois vérifier si la recourante n'a pas néanmoins contrevenu aux règles de la circulation. Il convient en particulier d'examiner si elle a satisfait à ses obligations de conductrice prioritaire en accordant toute l'attention nécessaire au côté gauche de la route communale, d'où venait l'intimée, et si, comme elle le soutient, les circonstances la légitimaient à "prendre le virage à la corde". L'autorité intimée n'a pas répondu à ces questions de manière suffisante au regard de la nouvelle situation de droit et il n'appartient pas au Tribunal fédéral de les traiter en première ligne, de sorte qu'il convient de lui renvoyer la cause à cet égard. De même, pour autant que la procédure cantonale le permette, le Tribunal cantonal devra examiner si la collision peut être imputée à une faute de la conductrice intimée (cf. ATF 101 IV 414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